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0CAFE89" w:rsidR="00D6147A" w:rsidRDefault="0022653E" w:rsidP="0022653E">
      <w:hyperlink r:id="rId6" w:history="1">
        <w:r w:rsidRPr="0005333B">
          <w:rPr>
            <w:rStyle w:val="Collegamentoipertestuale"/>
          </w:rPr>
          <w:t>https://www.borsaitaliana.it/borsa/notizie/radiocor/economia/dettaglio/dazi-gilli-comportano-sempre-danno-a-crescita-anche-per-chi-li-impone-nRC_15022025_1534_371907127.html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dazi-gilli-comportano-sempre-danno-a-crescita-anche-per-chi-li-impone-nRC_15022025_1534_371907127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2025-02-19T11:46:00Z</dcterms:created>
  <dcterms:modified xsi:type="dcterms:W3CDTF">2025-02-19T11:50:00Z</dcterms:modified>
</cp:coreProperties>
</file>